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0"/>
        <w:jc w:val="center"/>
      </w:pPr>
      <w:r>
        <w:rPr>
          <w:rFonts w:ascii="宋体" w:hAnsi="宋体" w:eastAsia="宋体"/>
          <w:b/>
          <w:sz w:val="44"/>
        </w:rPr>
        <w:t>固件与小程序分工流程文档</w:t>
      </w:r>
    </w:p>
    <w:p>
      <w:pPr>
        <w:jc w:val="center"/>
      </w:pPr>
      <w:r>
        <w:rPr>
          <w:rFonts w:ascii="宋体" w:hAnsi="宋体" w:eastAsia="宋体"/>
          <w:sz w:val="24"/>
        </w:rPr>
        <w:t>按产品操作流程逐步骤拆解，工程师可直接按此编程</w:t>
      </w:r>
    </w:p>
    <w:p>
      <w:pPr>
        <w:jc w:val="center"/>
      </w:pPr>
      <w:r>
        <w:rPr>
          <w:rFonts w:ascii="宋体" w:hAnsi="宋体" w:eastAsia="宋体"/>
          <w:sz w:val="21"/>
        </w:rPr>
        <w:t>版本: V3.0   日期: 2026-06-11</w:t>
      </w:r>
    </w:p>
    <w:p>
      <w:r>
        <w:br w:type="page"/>
      </w:r>
    </w:p>
    <w:p>
      <w:pPr>
        <w:pStyle w:val="Heading1"/>
      </w:pPr>
      <w:r>
        <w:t>总览流程图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  <w:t>以下为产品完整操作流程总览。[F] = 固件负责, [M] = 小程序负责, [F+M] = 协同实现。</w:t>
      </w:r>
    </w:p>
    <w:p>
      <w:pPr>
        <w:spacing w:after="240"/>
      </w:pPr>
      <w:r>
        <w:rPr>
          <w:rFonts w:ascii="Courier New" w:hAnsi="Courier New"/>
          <w:sz w:val="19"/>
        </w:rPr>
        <w:t>Step 1  [F+M] 设备上电与BLE连接</w:t>
        <w:br/>
        <w:t xml:space="preserve">    │</w:t>
        <w:br/>
        <w:t xml:space="preserve">    ▼</w:t>
        <w:br/>
        <w:t>Step 2  [F]   上电自检</w:t>
        <w:br/>
        <w:t xml:space="preserve">    │</w:t>
        <w:br/>
        <w:t xml:space="preserve">    ▼</w:t>
        <w:br/>
        <w:t>Step 3  [F]   底噪校准 + 强光检测</w:t>
        <w:br/>
        <w:t xml:space="preserve">    │</w:t>
        <w:br/>
        <w:t xml:space="preserve">    ▼</w:t>
        <w:br/>
        <w:t>Step 4  [M]   用户选择治疗区域 (1-5区)</w:t>
        <w:br/>
        <w:t xml:space="preserve">    │</w:t>
        <w:br/>
        <w:t xml:space="preserve">    ▼</w:t>
        <w:br/>
        <w:t>Step 5  [F]   贴合检测 (脉冲光预校验)</w:t>
        <w:br/>
        <w:t xml:space="preserve">    │</w:t>
        <w:br/>
        <w:t xml:space="preserve">    ▼</w:t>
        <w:br/>
        <w:t>Step 6  [F]   多光谱序贯扫描 (R→UV→Y→IR)</w:t>
        <w:br/>
        <w:t xml:space="preserve">    │</w:t>
        <w:br/>
        <w:t xml:space="preserve">    ▼</w:t>
        <w:br/>
        <w:t>Step 7  [F+M] PD数据上报 (FFE4 17B)</w:t>
        <w:br/>
        <w:t xml:space="preserve">    │</w:t>
        <w:br/>
        <w:t xml:space="preserve">    ▼</w:t>
        <w:br/>
        <w:t>Step 8  [F]   IDLE待机</w:t>
        <w:br/>
        <w:t xml:space="preserve">    │</w:t>
        <w:br/>
        <w:t xml:space="preserve">    ▼</w:t>
        <w:br/>
        <w:t>Step 9  [M]   多光谱诊断算法</w:t>
        <w:br/>
        <w:t xml:space="preserve">    │</w:t>
        <w:br/>
        <w:t xml:space="preserve">    ▼</w:t>
        <w:br/>
        <w:t>Step 10 [M]   匹配治疗方案</w:t>
        <w:br/>
        <w:t xml:space="preserve">    │</w:t>
        <w:br/>
        <w:t xml:space="preserve">    ▼</w:t>
        <w:br/>
        <w:t>Step 11 [F+M] 下发治疗指令 (FFE1 33B)</w:t>
        <w:br/>
        <w:t xml:space="preserve">    │</w:t>
        <w:br/>
        <w:t xml:space="preserve">    ▼</w:t>
        <w:br/>
        <w:t>Step 12 [F]   分区差异化光疗执行</w:t>
        <w:br/>
        <w:t xml:space="preserve">    │</w:t>
        <w:br/>
        <w:t xml:space="preserve">    ▼</w:t>
        <w:br/>
        <w:t>Step 13 [F+M] 治疗中监控 (含安全机制)</w:t>
        <w:br/>
        <w:t xml:space="preserve">    │</w:t>
        <w:br/>
        <w:t xml:space="preserve">    ▼</w:t>
        <w:br/>
        <w:t>Step 14 [F]   治疗完成 → Flash固化</w:t>
        <w:br/>
        <w:t xml:space="preserve">    │</w:t>
        <w:br/>
        <w:t xml:space="preserve">    ▼</w:t>
        <w:br/>
        <w:t>Step 15 [F+M] 数据上报 → 复位待机</w:t>
      </w:r>
    </w:p>
    <w:p>
      <w:r>
        <w:br w:type="page"/>
      </w:r>
    </w:p>
    <w:p>
      <w:pPr>
        <w:pStyle w:val="Heading1"/>
      </w:pPr>
      <w:r>
        <w:t>详细流程拆解</w:t>
      </w:r>
    </w:p>
    <w:p>
      <w:pPr>
        <w:pStyle w:val="Heading2"/>
      </w:pPr>
      <w:r>
        <w:t>Step 1: 设备上电与BLE连接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MCU初始化: GPIO配置、ADC初始化、定时器初始化、LED驱动IC初始化、PD传感器初始化、温度传感器初始化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BLE初始化: 配置GATT Service (FFE1 Command, FFE4 Status)，开始广播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等待小程序连接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微信小程序初始化BLE模块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扫描附近设备 (按设备名或UUID过滤)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连接设备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发现服务: 获取FFE1/FFE4特征值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使能FFE4 Notify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读取FFE4 17字节确认设备在线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 Read → 17字节状态 (PD1~7 + VBAT + 校验)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BLE广播间隔: 50ms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连接超时: 10秒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FFE4: Read+Notify属性, 17字节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小程序能搜索到设备并建立BLE连接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能读取FFE4返回17字节数据</w:t>
      </w:r>
    </w:p>
    <w:p>
      <w:pPr>
        <w:pStyle w:val="Heading2"/>
      </w:pPr>
      <w:r>
        <w:t>Step 2: 上电自检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检测各硬件模块就绪状态: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LED驱动IC: 写测试数据→回读验证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PD传感器×7: 读取ADC值, 确认非0xFFFF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温度传感器: 读取温度值, 确认在合理范围(-10~60°C)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Flash存储器: 读写校验测试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自检结果缓存到状态变量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通过FFE4上报: PD值 + VBAT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读取FFE4获取自检后状态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可选: 显示设备状态信息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无特殊命令, 通过FFE4 17字节判断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自检超时: 2秒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温度合理范围: -10°C ~ 60°C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PD有效值范围: 0~4095 (ADC 12位)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上电后FFE4返回有效PD值 (非全0/全F)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VBAT返回电池电压 (如3700=3.7V)</w:t>
      </w:r>
    </w:p>
    <w:p>
      <w:pPr>
        <w:pStyle w:val="Heading2"/>
      </w:pPr>
      <w:r>
        <w:t>Step 3: 底噪校准 + 强光检测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确保所有LED关闭 (IO1~IO5全0)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等待50ms让PD稳定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连续采样7路PD各10次, 取中值作为底噪值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PD1_noise ~ PD7_noise 存入校准缓存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检查是否有PD ≥ 4090 (接近饱和):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若≥3路PD饱和 → 判定强光环境 → 标记CALIB_FAIL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否则 → 标记CALIB_PASS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将底噪值存入内存, 供后续诊断算法使用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可选: 每隔1秒轮询FFE4, 观察PD值是否稳定回底噪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采样次数: 10次/路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稳定等待: 50ms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强光阈值: ADC ≥ 4090 (接近12bit满量程4095)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判定规则: ≥3路饱和 → 强光环境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遮住面罩时PD值接近0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暴露在环境光下PD值升高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强光下CALIB_FAIL阻止扫描</w:t>
      </w:r>
    </w:p>
    <w:p>
      <w:pPr>
        <w:pStyle w:val="Heading2"/>
      </w:pPr>
      <w:r>
        <w:t>Step 4: 用户选择治疗区域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等待命令, 无主动操作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UI显示5个面部区域示意图 (左脸颊/右脸颊/额头/下巴/鼻部)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用户可勾选1~5个区域 (默认全选)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确认选择后, 准备下一步扫描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区域掩码定义: bit0=左脸颊, bit1=右脸颊, bit2=额头, bit3=下巴, bit4=鼻部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用户能选择任意数量区域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选择结果能传给下一流程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UI/UX规范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5区域使用面部示意图标注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支持多选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确认按钮明显</w:t>
      </w:r>
    </w:p>
    <w:p>
      <w:pPr>
        <w:pStyle w:val="Heading2"/>
      </w:pPr>
      <w:r>
        <w:t>Step 5: 贴合检测 (脉冲光预校验)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发送微弱脉冲光检测贴合: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写FFE1: IO1~IO5红光=26(10%), 蓝光=0, 绿光=0, 暖光=0, 时间=0, 总时间=0, 校验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等待10ms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读取FFE4 7路PD值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判定贴合: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若某区域对应的PD值 &lt; (底噪值 - 贴合阈值) → 该区域贴合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若某区域对应的PD值 ≥ (底噪值 - 贴合阈值) → 该区域未贴合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简化判定: 7路PD中≥5路ADC显著低于底噪(被皮肤遮挡) → 贴合通过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贴合通过 → 等待多光谱扫描命令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贴合失败 → 通知小程序 (通过FFE4 PD特征: 所有PD值接近底噪=未贴合)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轮询FFE4读取PD值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检测到PD值无变化(接近底噪) → 提示"面罩未贴合，请调整佩戴"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检测到PD值显著变化(贴合) → 自动进入下一步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脉冲光亮度: 10% (PWM=26/255)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稳定时间: 10ms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贴合阈值: 待标定 (建议: PD值 &lt; 底噪×0.7)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判定: 7路中≥5路贴合 → 通过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佩戴面罩时贴合通过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未佩戴时贴合失败, 提示调整</w:t>
      </w:r>
    </w:p>
    <w:p>
      <w:pPr>
        <w:pStyle w:val="Heading2"/>
      </w:pPr>
      <w:r>
        <w:t>Step 6: 多光谱序贯扫描 (R→UV→Y→IR)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按顺序执行4色扫描, 每色过程相同: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1. 写IO1~IO5目标光色=128(50%), 其他光色=0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2. 等待50ms ADC稳定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3. 读取7路PD ADC值, 存入缓存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4. 关该光色 (写全0)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扫描顺序: 红光(R) → 紫外光(UV) → 黄光(Y) → 红外光(IR)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每次扫描写FFE1命令格式为: [R][UV][Y][IR][timeH][timeL] 共30B + 总时间2B + 校验1B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例如红光扫描: IO1~IO5: [128][0][0][0][0][0], 其余同理, 总时间=0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缓存结构: wave[4][7] = 4波长 × 7路PD ADC值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通过FFE4轮询读取PD值, 观察4色扫描过程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每50ms读取一次, 获取4组PD数据 (共28个值)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FFE1写入 → 设IO各光色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FFE4读取 → 获取当前PD值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扫描亮度: 50% (PWM=128)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稳定时间: 50ms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扫描顺序: R → UV → Y → IR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数据量: 28组 = 4波长 × 7路PD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总扫描时间: ~800ms (4 × (写IO+50ms+读PD+关IO))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能依次读到4组不同的PD数据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PD值在遮光和未遮光时有明显差异</w:t>
      </w:r>
    </w:p>
    <w:p>
      <w:pPr>
        <w:pStyle w:val="Heading2"/>
      </w:pPr>
      <w:r>
        <w:t>Step 7: PD数据上报 (FFE4 17B)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扫描完成后, 28组PD数据驻留在MCU内存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小程序通过FFE4读取时, 返回当前PD值: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若在扫描中 → 返回当前光色下的PD值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若扫描完成 → 返回最后一次红光扫描的PD值 (或最后一种光色)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注意: 实际FFE4只有7路PD实时值, 28组数据的完整传输由小程序轮询完成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在Step 6扫描过程中, 每50ms读取一次FFE4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记录4次读取结果: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T1: 红光下PD1~7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T2: 紫外光下PD1~7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T3: 黄光下PD1~7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T4: 红外光下PD1~7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整合为28组数据: wave[0..3][pd0..6]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 Read: 17字节 — Byte1~2: PD1, Byte3~4: PD2, ..., Byte13~14: PD7, Byte15~16: VBAT, Byte17: CS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小程序轮询间隔: 50ms (适配设备50ms稳定时间)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总采样: 4次 × 50ms = 200ms采集周期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小程序能完整获取28组PD值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数据无丢包</w:t>
      </w:r>
    </w:p>
    <w:p>
      <w:pPr>
        <w:pStyle w:val="Heading2"/>
      </w:pPr>
      <w:r>
        <w:t>Step 8: IDLE待机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扫描完成且数据上报后: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1. 关停所有LED: 写IO1~IO5全0到FFE1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2. 置内部状态=IDLE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3. 清空扫描缓存 (可选保留)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IDLE状态特点: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所有LED关闭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等待小程序下发治疗指令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不接受除FFE1写入以外的操作 (无其他命令通道)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检测到PD值回到底噪水平 → 判定设备已IDLE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进入诊断分析流程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无需特殊命令, 通过FFE4 PD值回底噪判定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IDLE标志: 所有IO寄存器为0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扫描后自动关灯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PD值回到底噪水平</w:t>
      </w:r>
    </w:p>
    <w:p>
      <w:pPr>
        <w:pStyle w:val="Heading2"/>
      </w:pPr>
      <w:r>
        <w:t>Step 9: 多光谱诊断算法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无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读取28组PD数据 (4波长 × 7路PD)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5区域PD聚合: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按区域映射表将PD值分配到5区域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每个区域计算各波长平均PD值: Zone_R, Zone_UV, Zone_Y, Zone_IR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计算归一化吸收率: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Avg_R = 5区域_R的平均值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NR_R[i] = 1 - (Zone_R[i] / Avg_R)  // i=0~4 对应5区域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同理计算 NR_UV, NR_Y, NR_IR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病症判定 (每区域独立):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max(NR_R, NR_UV, NR_Y, NR_IR) 对应的光谱 → 该光谱对应病症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若最大NR &lt; 0.10 → 判定为健康/复合问题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炎症特殊规则: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若 NR_R 异常高 (吸光特征提示血红蛋白) → 判定炎症/泛红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自动限红光强度至60%, 限时≤8分钟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三级严重度分级: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轻度: 0.05 &lt; NR_max ≤ 0.15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中度: 0.15 &lt; NR_max ≤ 0.30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重度: NR_max &gt; 0.30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聚合映射: 7路PD → 5区域 (需硬件确定映射关系)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归一化公式: NR_X = 1 - (Zone_PD_X / Avg_PD_X)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阈值 TH: 0.10 (初始值, 可调)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严重度分级阈值: 0.05 / 0.15 / 0.30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健康皮肤: 各NR值接近0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问题皮肤: 对应光谱NR值显著偏高</w:t>
      </w:r>
    </w:p>
    <w:p>
      <w:pPr>
        <w:pStyle w:val="Heading2"/>
      </w:pPr>
      <w:r>
        <w:t>Step 10: 匹配治疗方案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无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根据诊断结果, 查表匹配治疗方案 (见下方表格)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每个区域独立匹配方案 (不同区域可有不同模式)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炎症泛红特殊处理: 红光限制60%, 总时长≤8分钟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生成差异化治疗参数: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每个IO的R/UV/Y/IR强度值 (0-255)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每个IO的工作时间 (秒)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总时间 (秒, 取各IO最大值)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强度百分比→PWM值映射: 20%=51, 30%=77, 40%=102, 50%=128, 55%=140, 62%=158, 70%=179, 83%=212, 100%=255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诊断结果正确映射到治疗方案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各区域方案独立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治疗方案匹配表</w:t>
      </w:r>
    </w:p>
    <w:p>
      <w:pPr>
        <w:spacing w:after="120"/>
      </w:pPr>
      <w:r>
        <w:rPr>
          <w:rFonts w:ascii="宋体" w:hAnsi="宋体" w:eastAsia="宋体"/>
          <w:b w:val="0"/>
          <w:sz w:val="21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984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病症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模式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光色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强度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时长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宋体" w:hAnsi="宋体" w:eastAsia="宋体"/>
                <w:sz w:val="18"/>
              </w:rPr>
              <w:t>光老化/暗沉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嫩肤抗衰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红光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宋体" w:hAnsi="宋体" w:eastAsia="宋体"/>
                <w:sz w:val="18"/>
              </w:rPr>
              <w:t>痤疮/油脂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祛痘控油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紫外光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宋体" w:hAnsi="宋体" w:eastAsia="宋体"/>
                <w:sz w:val="18"/>
              </w:rPr>
              <w:t>色素沉着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美白淡斑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黄光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宋体" w:hAnsi="宋体" w:eastAsia="宋体"/>
                <w:sz w:val="18"/>
              </w:rPr>
              <w:t>深层炎症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深层修护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红外光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>
        <w:tc>
          <w:tcPr>
            <w:tcW w:type="dxa" w:w="1984"/>
          </w:tcPr>
          <w:p>
            <w:r/>
            <w:r>
              <w:rPr>
                <w:rFonts w:ascii="宋体" w:hAnsi="宋体" w:eastAsia="宋体"/>
                <w:sz w:val="18"/>
              </w:rPr>
              <w:t>泛红敏感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舒缓修护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黄光+紫外光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40-60%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≤8min</w:t>
            </w:r>
          </w:p>
        </w:tc>
      </w:tr>
    </w:tbl>
    <w:p/>
    <w:p>
      <w:pPr>
        <w:pStyle w:val="Heading2"/>
      </w:pPr>
      <w:r>
        <w:t>Step 11: 下发治疗指令 (FFE1 33B)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监听FFE1写入事件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解析33字节命令: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IO1~IO5各6字节: [R][UV][Y][IR][timeH][timeL]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Byte31-32: 总时间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Byte33: 校验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校验验证: 检查 Byte1~Byte32 求和取低8位 == Byte33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校验通过 → 解析存参, 准备执行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校验失败 → 忽略(不响应), 等待重发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构造33字节命令写入FFE1, 例如: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IO1: [204][0][0][0][0x02][0x58]  // R=80%, time=600s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IO2: [0][179][0][0][0x01][0xF4]  // UV=70%, time=500s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IO3~IO5: 全0 (不治疗)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总时间: [0x02][0x58]  // 600s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校验: [CS]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首次写入后, 通过FFE4读取验证设备已响应 (PD值变化表明LED已亮)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FFE1 Write: 33字节固定长度命令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 Read: 验证PD值变化确认LED已响应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命令长度: 33字节固定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校验: Byte0~31求和取低8位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时间单位: 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最长时间: 600秒 (10分钟)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强度范围: 0-255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写入后设备LED按参数亮起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FFE4读取PD值升高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错误校验时设备不应答</w:t>
      </w:r>
    </w:p>
    <w:p>
      <w:pPr>
        <w:pStyle w:val="Heading2"/>
      </w:pPr>
      <w:r>
        <w:t>Step 12: 分区差异化光疗执行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解析FFE1写入的33字节, 提取各IO参数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启动定时器, 按各IO独立控制: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IO1: PWM驱动R/UV/Y/IR LED, 倒计时IO1_time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IO2~IO5: 同理独立控制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每秒更新IO时间寄存器 (递减)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任一IO倒计时归零 → 该IO全关灯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所有IO归零 → 判定治疗完成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治疗期间持续通过FFE4上报PD值 (反映LED工作状态)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每秒轮询FFE4, 读取PD值和VBAT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显示治疗进度: 剩余时间, 当前强度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检测到PD值突然回底噪 → 判定治疗完成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PWM频率: 1kHz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IO独立控制: 5路PWM × 4色 = 20路独立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时间精度: 秒级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最长治疗: 600秒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各IO按设置参数独立工作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到时间自动关灯</w:t>
      </w:r>
    </w:p>
    <w:p>
      <w:r>
        <w:br w:type="page"/>
      </w:r>
    </w:p>
    <w:p>
      <w:pPr>
        <w:pStyle w:val="Heading2"/>
      </w:pPr>
      <w:r>
        <w:t>Step 13: 治疗中监控 (含安全机制)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13.1 离肤检测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每20ms采样7路PD值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连续5次(100ms) ADC均高于离肤阈值 → 判定离肤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离肤后立即关LED, 恢复后等待贴合重新开始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检测到PD值异常跳变 → 可选提醒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采样间隔: 20ms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判定次数: 5次连续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离肤阈值: (底噪+50) 需标定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13.2 摘面罩检测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7路PD同时ADC ≥ 4090 → 判定摘面罩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1秒内暂停LED (不关, 保持配置)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60秒内未恢复贴合 → IDLE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60秒内恢复贴合 → 继续治疗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收到摘面罩信号 → 弹出提示 "请戴回面罩以继续护理"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13.3 BLE断连两段式保护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200ms BLE断连检测 → 强制降LED功率至30%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开启5秒Grace倒计时: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- 5秒内重连 → 平滑恢复功率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- 5秒超时 → IDLE灭灯 + Flash固化断点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重连后小程序查询 → 返回PAUSED状态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重连后读取FFE4 → 检测到低功率 → 弹窗 "蓝牙连接已恢复，是否继续未完成的护理？"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13.4 过温保护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实时读取温度传感器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软件层: ≥42°C → 关灯 + 上报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硬件层: 双重NTC, 42°C直接切断LED主路 (不依赖软件)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检测到温度异常上报 → 显示 "设备过热，请冷却后再使用"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13.5 低电量降级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读取VBAT (FFE4 Byte15-16)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VBAT &lt; 3.5V (约10%电量) 且 强度 &gt; 62% → 自动降功率至55%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VBAT &lt; 3.3V (约5%电量) → 强制IDLE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收到低电量信号 → 弹窗 "电量低，已自动切换省电模式"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强制IDLE → 弹窗 "电量过低，请充电"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VBAT: 单位mV, 3.7V=3700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10%电量: ~3.5V (需电池曲线标定)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5%电量: ~3.3V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摘面罩1秒内暂停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BLE断连5秒后IDLE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过温硬件切断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低电量自动降功率</w:t>
      </w:r>
    </w:p>
    <w:p>
      <w:pPr>
        <w:pStyle w:val="Heading2"/>
      </w:pPr>
      <w:r>
        <w:t>Step 14: 治疗完成 → Flash固化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所有IO倒计时归零 → 自动关所有LED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固化治疗数据到Flash: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数据结构: {timestamp(4B), io_config(30B), total_time(2B), actual_duration(2B), status(1B)}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每分钟自动保存一次 (防止断电解散数据)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 xml:space="preserve">  - 治疗完成时最终保存一次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最后通过FFE4上报PD值 (回底噪=完成信号)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检测到FFE4 PD值回底噪 → 判定治疗完成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显示 "护理完成"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Flash保存格式: 固定长度结构体 (39B)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自动保存间隔: 60秒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保存内容: 完整治疗参数 + 实际时长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治疗后LED关闭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Flash可读出固化数据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断电后数据不丢失</w:t>
      </w:r>
    </w:p>
    <w:p>
      <w:pPr>
        <w:pStyle w:val="Heading2"/>
      </w:pPr>
      <w:r>
        <w:t>Step 15: 数据上报 → 复位待机</w:t>
      </w:r>
    </w:p>
    <w:p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通过FFE4持续上报PD值 (回底噪)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小程序读取完成后, 侦测到长时间无操作 → 复位状态机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复位内容: 清空扫描缓存、诊断缓存、治疗参数, 回到IDLE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读取FFE4确认治疗完成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显示本次护理摘要 (区域、模式、时长)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记录到本地历史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回到首页, 等待下一次操作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无特殊命令, 通过FFE4 PD值判定</w:t>
      </w:r>
    </w:p>
    <w:p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完成后设备回到IDLE</w:t>
      </w:r>
    </w:p>
    <w:p>
      <w:pPr>
        <w:pStyle w:val="ListBullet"/>
        <w:spacing w:after="40"/>
      </w:pPr>
      <w:r>
        <w:rPr>
          <w:rFonts w:ascii="宋体" w:hAnsi="宋体" w:eastAsia="宋体"/>
          <w:sz w:val="21"/>
        </w:rPr>
        <w:t>可重新开始新一轮流程</w:t>
      </w:r>
    </w:p>
    <w:p>
      <w:r>
        <w:br w:type="page"/>
      </w:r>
    </w:p>
    <w:p>
      <w:pPr>
        <w:pStyle w:val="Heading1"/>
      </w:pPr>
      <w:r>
        <w:t>Appendix A: FFE1 命令速查工具表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134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字节偏移</w:t>
            </w:r>
          </w:p>
        </w:tc>
        <w:tc>
          <w:tcPr>
            <w:tcW w:type="dxa" w:w="2268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字段</w:t>
            </w:r>
          </w:p>
        </w:tc>
        <w:tc>
          <w:tcPr>
            <w:tcW w:type="dxa" w:w="1134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长度</w:t>
            </w:r>
          </w:p>
        </w:tc>
        <w:tc>
          <w:tcPr>
            <w:tcW w:type="dxa" w:w="2268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说明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示例值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0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IO1_红光强度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0-255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204(80%)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IO1_紫外光强度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0-255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IO1_黄光强度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0-255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3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IO1_红外光强度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0-255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4-5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IO1_工作时间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2268"/>
          </w:tcPr>
          <w:p>
            <w:r/>
            <w:r>
              <w:rPr>
                <w:rFonts w:ascii="宋体" w:hAnsi="宋体" w:eastAsia="宋体"/>
                <w:sz w:val="18"/>
              </w:rPr>
              <w:t>单位秒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0x0258(600)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6-11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IO2 (同上6B)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6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同IO1结构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—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12-17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IO3 (同上6B)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6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同IO1结构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—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18-23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IO4 (同上6B)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6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同IO1结构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—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24-29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IO5 (同上6B)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6</w:t>
            </w:r>
          </w:p>
        </w:tc>
        <w:tc>
          <w:tcPr>
            <w:tcW w:type="dxa" w:w="2268"/>
          </w:tcPr>
          <w:p>
            <w:r/>
            <w:r>
              <w:rPr>
                <w:rFonts w:ascii="Courier New" w:hAnsi="Courier New" w:eastAsia="宋体"/>
                <w:sz w:val="18"/>
              </w:rPr>
              <w:t>同IO1结构</w:t>
            </w:r>
          </w:p>
        </w:tc>
        <w:tc>
          <w:tcPr>
            <w:tcW w:type="dxa" w:w="1701"/>
          </w:tcPr>
          <w:p>
            <w:r/>
            <w:r>
              <w:rPr>
                <w:rFonts w:ascii="宋体" w:hAnsi="宋体" w:eastAsia="宋体"/>
                <w:sz w:val="18"/>
              </w:rPr>
              <w:t>—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30-31</w:t>
            </w:r>
          </w:p>
        </w:tc>
        <w:tc>
          <w:tcPr>
            <w:tcW w:type="dxa" w:w="2268"/>
          </w:tcPr>
          <w:p>
            <w:r/>
            <w:r>
              <w:rPr>
                <w:rFonts w:ascii="宋体" w:hAnsi="宋体" w:eastAsia="宋体"/>
                <w:sz w:val="18"/>
              </w:rPr>
              <w:t>总时间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2268"/>
          </w:tcPr>
          <w:p>
            <w:r/>
            <w:r>
              <w:rPr>
                <w:rFonts w:ascii="宋体" w:hAnsi="宋体" w:eastAsia="宋体"/>
                <w:sz w:val="18"/>
              </w:rPr>
              <w:t>单位秒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0x0258(600)</w:t>
            </w:r>
          </w:p>
        </w:tc>
      </w:tr>
      <w:tr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32</w:t>
            </w:r>
          </w:p>
        </w:tc>
        <w:tc>
          <w:tcPr>
            <w:tcW w:type="dxa" w:w="2268"/>
          </w:tcPr>
          <w:p>
            <w:r/>
            <w:r>
              <w:rPr>
                <w:rFonts w:ascii="宋体" w:hAnsi="宋体" w:eastAsia="宋体"/>
                <w:sz w:val="18"/>
              </w:rPr>
              <w:t>校验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2268"/>
          </w:tcPr>
          <w:p>
            <w:r/>
            <w:r>
              <w:rPr>
                <w:rFonts w:ascii="宋体" w:hAnsi="宋体" w:eastAsia="宋体"/>
                <w:sz w:val="18"/>
              </w:rPr>
              <w:t>Byte0~31求和取低8位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0xCS</w:t>
            </w:r>
          </w:p>
        </w:tc>
      </w:tr>
    </w:tbl>
    <w:p/>
    <w:p>
      <w:pPr>
        <w:pStyle w:val="Heading1"/>
      </w:pPr>
      <w:r>
        <w:t>Appendix B: FFE4 状态速查工具表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1417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字节偏移</w:t>
            </w:r>
          </w:p>
        </w:tc>
        <w:tc>
          <w:tcPr>
            <w:tcW w:type="dxa" w:w="2835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字段</w:t>
            </w:r>
          </w:p>
        </w:tc>
        <w:tc>
          <w:tcPr>
            <w:tcW w:type="dxa" w:w="1134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长度</w:t>
            </w:r>
          </w:p>
        </w:tc>
        <w:tc>
          <w:tcPr>
            <w:tcW w:type="dxa" w:w="3402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说明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0-1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PD1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Courier New" w:hAnsi="Courier New" w:eastAsia="宋体"/>
                <w:sz w:val="18"/>
              </w:rPr>
              <w:t>ADC值 0-4095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2-3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PD2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4-5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PD3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6-7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PD4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8-9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PD5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10-11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PD6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12-13</w:t>
            </w:r>
          </w:p>
        </w:tc>
        <w:tc>
          <w:tcPr>
            <w:tcW w:type="dxa" w:w="2835"/>
          </w:tcPr>
          <w:p>
            <w:r/>
            <w:r>
              <w:rPr>
                <w:rFonts w:ascii="Courier New" w:hAnsi="Courier New" w:eastAsia="宋体"/>
                <w:sz w:val="18"/>
              </w:rPr>
              <w:t>PD7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14-15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sz w:val="18"/>
              </w:rPr>
              <w:t>VBAT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2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  <w:t>电压值 mV</w:t>
            </w:r>
          </w:p>
        </w:tc>
      </w:tr>
      <w:tr>
        <w:tc>
          <w:tcPr>
            <w:tcW w:type="dxa" w:w="1417"/>
          </w:tcPr>
          <w:p>
            <w:r/>
            <w:r>
              <w:rPr>
                <w:rFonts w:ascii="Courier New" w:hAnsi="Courier New" w:eastAsia="宋体"/>
                <w:sz w:val="18"/>
              </w:rPr>
              <w:t>16</w:t>
            </w:r>
          </w:p>
        </w:tc>
        <w:tc>
          <w:tcPr>
            <w:tcW w:type="dxa" w:w="2835"/>
          </w:tcPr>
          <w:p>
            <w:r/>
            <w:r>
              <w:rPr>
                <w:rFonts w:ascii="宋体" w:hAnsi="宋体" w:eastAsia="宋体"/>
                <w:sz w:val="18"/>
              </w:rPr>
              <w:t>校验</w:t>
            </w:r>
          </w:p>
        </w:tc>
        <w:tc>
          <w:tcPr>
            <w:tcW w:type="dxa" w:w="1134"/>
          </w:tcPr>
          <w:p>
            <w:r/>
            <w:r>
              <w:rPr>
                <w:rFonts w:ascii="Courier New" w:hAnsi="Courier New" w:eastAsia="宋体"/>
                <w:sz w:val="18"/>
              </w:rPr>
              <w:t>1</w:t>
            </w:r>
          </w:p>
        </w:tc>
        <w:tc>
          <w:tcPr>
            <w:tcW w:type="dxa" w:w="3402"/>
          </w:tcPr>
          <w:p>
            <w:r/>
            <w:r>
              <w:rPr>
                <w:rFonts w:ascii="宋体" w:hAnsi="宋体" w:eastAsia="宋体"/>
                <w:sz w:val="18"/>
              </w:rPr>
              <w:t>Byte0~15求和取低8位</w:t>
            </w:r>
          </w:p>
        </w:tc>
      </w:tr>
    </w:tbl>
    <w:p/>
    <w:p>
      <w:pPr>
        <w:pStyle w:val="Heading1"/>
      </w:pPr>
      <w:r>
        <w:t>Appendix C: 强度百分比 → PWM值 速查表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78"/>
        <w:gridCol w:w="2878"/>
        <w:gridCol w:w="2878"/>
      </w:tblGrid>
      <w:tr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百分比</w:t>
            </w:r>
          </w:p>
        </w:tc>
        <w:tc>
          <w:tcPr>
            <w:tcW w:type="dxa" w:w="1701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PWM值</w:t>
            </w:r>
          </w:p>
        </w:tc>
        <w:tc>
          <w:tcPr>
            <w:tcW w:type="dxa" w:w="4535"/>
            <w:shd w:fill="D9E2F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18"/>
              </w:rPr>
              <w:t>适用场景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20%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51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脉冲光预校验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30%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77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安全降级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40%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102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复合光温和档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50%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128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扫描基准亮度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55%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140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省电安全模式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62%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158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护理峰值档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70%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179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高档治疗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80%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204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标准治疗档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100%</w:t>
            </w:r>
          </w:p>
        </w:tc>
        <w:tc>
          <w:tcPr>
            <w:tcW w:type="dxa" w:w="1701"/>
          </w:tcPr>
          <w:p>
            <w:r/>
            <w:r>
              <w:rPr>
                <w:rFonts w:ascii="Courier New" w:hAnsi="Courier New" w:eastAsia="宋体"/>
                <w:sz w:val="18"/>
              </w:rPr>
              <w:t>255</w:t>
            </w:r>
          </w:p>
        </w:tc>
        <w:tc>
          <w:tcPr>
            <w:tcW w:type="dxa" w:w="4535"/>
          </w:tcPr>
          <w:p>
            <w:r/>
            <w:r>
              <w:rPr>
                <w:rFonts w:ascii="宋体" w:hAnsi="宋体" w:eastAsia="宋体"/>
                <w:sz w:val="18"/>
              </w:rPr>
              <w:t>最大安全值</w:t>
            </w:r>
          </w:p>
        </w:tc>
      </w:tr>
    </w:tbl>
    <w:p/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24" w:lineRule="auto"/>
    </w:pPr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宋体" w:hAnsi="宋体" w:eastAsia="宋体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宋体" w:hAnsi="宋体" w:eastAsia="宋体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宋体" w:hAnsi="宋体" w:eastAsia="宋体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